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1F55F6" w:rsidP="001F55F6" w14:paraId="12B24AF9" w14:textId="1A1037A4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0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EF4F3F" w:rsidRPr="001F55F6" w:rsidP="001F55F6" w14:paraId="7B335C5A" w14:textId="2DC21CB2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>
        <w:rPr>
          <w:rFonts w:cstheme="minorHAnsi"/>
          <w:b/>
          <w:sz w:val="20"/>
          <w:szCs w:val="20"/>
        </w:rPr>
        <w:t> </w:t>
      </w:r>
      <w:bookmarkStart w:id="2" w:name="22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3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5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4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03.06.2021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799/2021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st. 1. i 7. Zakona o javnim nabavkama („Službeni glasnik“, broj 91/19), naručilac donosi,</w:t>
      </w:r>
    </w:p>
    <w:p w:rsidR="001F55F6" w:rsidRPr="001F55F6" w:rsidP="00A9707B" w14:paraId="2E4A0798" w14:textId="71A59B9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r w:rsidRPr="00D005DE">
        <w:rPr>
          <w:rFonts w:cstheme="minorHAnsi"/>
          <w:b/>
          <w:sz w:val="32"/>
          <w:szCs w:val="32"/>
          <w:lang w:val="sr-Latn-BA"/>
        </w:rPr>
        <w:t>ODLUKA O ZAKLJUČENJU OKVIRNOG SPORAZUMA</w:t>
      </w:r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9" w:name="21"/>
      <w:bookmarkEnd w:id="9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18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9/21-1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7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Materijal za dijalizu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2" w:name="16"/>
      <w:bookmarkEnd w:id="12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F02-0017203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A_ConType_1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701B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3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4" w:name="A_ConType_2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701B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1F55F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3_1"/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3701B5">
        <w:rPr>
          <w:rFonts w:asciiTheme="minorHAnsi" w:hAnsiTheme="minorHAnsi" w:cstheme="minorHAnsi"/>
          <w:sz w:val="20"/>
          <w:szCs w:val="20"/>
        </w:rPr>
        <w:fldChar w:fldCharType="separate"/>
      </w:r>
      <w:r w:rsidRPr="001F55F6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6" w:name="19"/>
      <w:bookmarkEnd w:id="16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33181520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7" w:name="1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Materijal za dijalizu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8" w:name="2"/>
      <w:bookmarkEnd w:id="18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535.050,00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19" w:name="3"/>
      <w:bookmarkEnd w:id="19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04108F" w:rsidP="00B84A8C" w14:paraId="295073E2" w14:textId="2B644F9A">
      <w:pPr>
        <w:tabs>
          <w:tab w:val="left" w:pos="1701"/>
        </w:tabs>
        <w:spacing w:before="120"/>
        <w:rPr>
          <w:rFonts w:cstheme="minorHAnsi"/>
          <w:sz w:val="20"/>
          <w:szCs w:val="20"/>
          <w:lang w:val="sr-Latn-BA"/>
        </w:rPr>
      </w:pPr>
      <w:r w:rsidRPr="0004108F">
        <w:rPr>
          <w:rFonts w:ascii="Calibri" w:hAnsi="Calibri" w:cs="Calibri"/>
          <w:sz w:val="20"/>
          <w:szCs w:val="20"/>
          <w:lang w:val="sr-Latn-BA"/>
        </w:rPr>
        <w:t>Okvirni sporazum se zaključuje sa sledećim privrednim subjektima: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B84A8C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0" w:name="10"/>
            <w:bookmarkEnd w:id="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MEDTECH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1" w:name="11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105911463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2" w:name="12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USTANIČKA, 144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3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(Voždovac)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4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11050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5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B84A8C" w14:paraId="602D96C0" w14:textId="77777777">
      <w:pPr>
        <w:tabs>
          <w:tab w:val="left" w:pos="2438"/>
        </w:tabs>
        <w:spacing w:before="120"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626ABF65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B04555">
        <w:rPr>
          <w:rFonts w:cstheme="minorHAnsi"/>
          <w:bCs/>
          <w:sz w:val="20"/>
          <w:szCs w:val="20"/>
          <w:lang w:val="de-DE"/>
        </w:rPr>
        <w:t xml:space="preserve">Vrednost </w:t>
      </w:r>
      <w:r w:rsidRPr="00B04555" w:rsidR="00B04555">
        <w:rPr>
          <w:rFonts w:cstheme="minorHAnsi"/>
          <w:bCs/>
          <w:sz w:val="20"/>
          <w:szCs w:val="20"/>
          <w:lang w:val="de-DE"/>
        </w:rPr>
        <w:t>okvirnog sporazuma</w:t>
      </w:r>
      <w:r w:rsidRPr="00B04555">
        <w:rPr>
          <w:rFonts w:cstheme="minorHAnsi"/>
          <w:bCs/>
          <w:sz w:val="20"/>
          <w:szCs w:val="20"/>
          <w:lang w:val="de-DE"/>
        </w:rPr>
        <w:t xml:space="preserve"> (bez PDV):</w:t>
      </w:r>
      <w:r w:rsidRPr="00B04555" w:rsidR="00B84A8C">
        <w:rPr>
          <w:rFonts w:cstheme="minorHAnsi"/>
          <w:bCs/>
          <w:sz w:val="20"/>
          <w:szCs w:val="20"/>
          <w:lang w:val="de-DE"/>
        </w:rPr>
        <w:tab/>
      </w:r>
      <w:bookmarkStart w:id="26" w:name="4"/>
      <w:bookmarkEnd w:id="26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535.050,00</w:t>
      </w:r>
    </w:p>
    <w:p w:rsidR="001F55F6" w:rsidRPr="00B84A8C" w:rsidP="00B84A8C" w14:paraId="5D5413F5" w14:textId="23842805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 xml:space="preserve">Vrednost </w:t>
      </w:r>
      <w:r w:rsidR="00B04555">
        <w:rPr>
          <w:rFonts w:cstheme="minorHAnsi"/>
          <w:bCs/>
          <w:sz w:val="20"/>
          <w:szCs w:val="20"/>
        </w:rPr>
        <w:t>okvirnog sporazuma</w:t>
      </w:r>
      <w:r w:rsidRPr="001F55F6">
        <w:rPr>
          <w:rFonts w:cstheme="minorHAnsi"/>
          <w:bCs/>
          <w:sz w:val="20"/>
          <w:szCs w:val="20"/>
        </w:rPr>
        <w:t xml:space="preserve"> (sa PDV):</w:t>
      </w:r>
      <w:r w:rsidR="00B84A8C">
        <w:rPr>
          <w:rFonts w:cstheme="minorHAnsi"/>
          <w:bCs/>
          <w:sz w:val="20"/>
          <w:szCs w:val="20"/>
        </w:rPr>
        <w:tab/>
      </w:r>
      <w:bookmarkStart w:id="27" w:name="5"/>
      <w:bookmarkEnd w:id="27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642.060,00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8" w:name="6"/>
      <w:bookmarkEnd w:id="0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Materijal za dijalizu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9/21-1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723/2021, 24.05.2021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10.406.779,66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Okvirni sporazum sa jednim privrednim subjektom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33181520-Potrošni materijal za renalnu dijalizu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2021/S F02-0017203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25.05.2021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0"/>
                      <w:szCs w:val="20"/>
                    </w:rPr>
                    <w:t>03.06.2021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Marko Avramović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Srđan Stevanović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Materijal za dijalizu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03.06.2021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03.06.2021 12:02:16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MEDTECH DOO BEOGRAD, USTANIČKA, 144, 11050, Beograd (Voždovac),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P-0306/21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2.6.2021. 12:46:20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2.6.2021. 10:45:00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Uzorak seta isključi uključi.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MEDTECH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535050.00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642060.00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MEDTECH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535050.00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642060.00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MEDTECH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535.050,00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642.060,00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Izabire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MEDTECH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535.050,00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Ponuda ponuđača je prihvaćena jer u svemu odgovara zahtevima iz konkursne dokumentacije odnosno tehničke specifikacije i procenjenoj vrednosti javne nabavke.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29" w:name="_Hlk32839505_0"/>
      <w:bookmarkStart w:id="30" w:name="1_0"/>
      <w:bookmarkEnd w:id="30"/>
      <w:r>
        <w:rPr>
          <w:rFonts w:ascii="Calibri" w:eastAsia="Calibri" w:hAnsi="Calibri" w:cs="Calibri"/>
        </w:rPr>
        <w:t>Ponuda ponuđača je prihvaćena jer u svemu odgovara zahtevima iz konkursne dokumentacije odnosno tehničke specifikacije i procenjenoj vrednosti javne nabavke.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29"/>
      <w:bookmarkStart w:id="31" w:name="2_0"/>
      <w:bookmarkEnd w:id="31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4368405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D005DE" w:rsidR="00D005DE">
      <w:rPr>
        <w:caps/>
        <w:noProof/>
        <w:sz w:val="12"/>
        <w:szCs w:val="12"/>
        <w:lang w:val="hr-HR"/>
      </w:rPr>
      <w:t>ODLUKA O ZAKLJUČENJU OKVIRNOG SPORAZUMA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>
      <w:rPr>
        <w:caps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4108F"/>
    <w:rsid w:val="00064642"/>
    <w:rsid w:val="00087A93"/>
    <w:rsid w:val="00092830"/>
    <w:rsid w:val="000A667E"/>
    <w:rsid w:val="000F6975"/>
    <w:rsid w:val="00165E99"/>
    <w:rsid w:val="001800E3"/>
    <w:rsid w:val="001B4006"/>
    <w:rsid w:val="001E07C2"/>
    <w:rsid w:val="001F55F6"/>
    <w:rsid w:val="002B375A"/>
    <w:rsid w:val="002B5412"/>
    <w:rsid w:val="002E6AB7"/>
    <w:rsid w:val="003406EF"/>
    <w:rsid w:val="00342432"/>
    <w:rsid w:val="003701B5"/>
    <w:rsid w:val="003753D5"/>
    <w:rsid w:val="00390B66"/>
    <w:rsid w:val="003F4A2A"/>
    <w:rsid w:val="00430FB5"/>
    <w:rsid w:val="00471857"/>
    <w:rsid w:val="004D3A78"/>
    <w:rsid w:val="004F587C"/>
    <w:rsid w:val="005349E8"/>
    <w:rsid w:val="00544D4B"/>
    <w:rsid w:val="0059265A"/>
    <w:rsid w:val="005B6EAC"/>
    <w:rsid w:val="00666AE4"/>
    <w:rsid w:val="006A4384"/>
    <w:rsid w:val="006C28AA"/>
    <w:rsid w:val="00723884"/>
    <w:rsid w:val="007500EB"/>
    <w:rsid w:val="007B33EC"/>
    <w:rsid w:val="008C5725"/>
    <w:rsid w:val="00934E20"/>
    <w:rsid w:val="00943D6F"/>
    <w:rsid w:val="00A338C8"/>
    <w:rsid w:val="00A9707B"/>
    <w:rsid w:val="00AA44B3"/>
    <w:rsid w:val="00AE028A"/>
    <w:rsid w:val="00B04555"/>
    <w:rsid w:val="00B07D76"/>
    <w:rsid w:val="00B12B6B"/>
    <w:rsid w:val="00B36DFD"/>
    <w:rsid w:val="00B84A8C"/>
    <w:rsid w:val="00BE147A"/>
    <w:rsid w:val="00C3138D"/>
    <w:rsid w:val="00C4780E"/>
    <w:rsid w:val="00CB35CB"/>
    <w:rsid w:val="00D005DE"/>
    <w:rsid w:val="00D1225B"/>
    <w:rsid w:val="00D1691F"/>
    <w:rsid w:val="00D25CF6"/>
    <w:rsid w:val="00D4767B"/>
    <w:rsid w:val="00DE52D6"/>
    <w:rsid w:val="00DF4791"/>
    <w:rsid w:val="00EA7410"/>
    <w:rsid w:val="00EA7586"/>
    <w:rsid w:val="00EF4F3F"/>
    <w:rsid w:val="00F24FBF"/>
    <w:rsid w:val="00F61EC9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OBR_OdlukaOZakljucenjuOS.dotx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7</cp:revision>
  <dcterms:created xsi:type="dcterms:W3CDTF">2020-02-17T15:21:00Z</dcterms:created>
  <dcterms:modified xsi:type="dcterms:W3CDTF">2021-04-16T12:20:00Z</dcterms:modified>
</cp:coreProperties>
</file>