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26.04.2022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702/2022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Такси превоз стоматолога и приправних лекара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Ф02-0013749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60120000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Такси превоз стоматолога на релацији Чачак Ивањица и обратно.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1.283.333,33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АМИЦУМ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110569508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ВЕНИЈАМИНА МАРИНКОВИЋА,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4.650,00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5.115,00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у складу са условима из конкурсне документације, уговорни однос ће се спроводити до износа од 1.283.333,33 динара. Комисији није познато зашто је приспела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Такси превоз припоравних лекара на терторији општине Ивањица.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АМИЦУМ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110569508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ВЕНИЈАМИНА МАРИНКОВИЋА,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54,54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у складу са условима из конкурсне документације, уговорни однос ће се спроводити до износа од 100.000,00  динара. Комисији није познато зашто је приспела само једна понуда.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Такси превоз стоматолога и приправних лекара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667/2022, 12.04.2022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1.383.333,33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60120000-Такси услуге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Превоз стоматолага на релацији  Чачак-Ивањица и обрнуто. Као и превоз приправних лекара на терторији општине Ивањица.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Ф02-0013749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26.04.2022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припоравних лекара на терторији општине Ивањица.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 Ивањица и обратно.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1.283.333,33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26.04.2022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26.04.2022 10:00:12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 Ивањица и обратно.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ДОО, ВЕНИЈАМИНА МАРИНКОВИЋА, 77, 35250,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18.4.2022. 20:20:30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припоравних лекара на терторији општине Ивањица.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ДОО, ВЕНИЈАМИНА МАРИНКОВИЋА, 77, 35250,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18.4.2022. 20:20:30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Такси превоз стоматолога на релацији Чачак Ивањица и обратно.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дана приема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Такси превоз припоравних лекара на терторији општине Ивањица.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датума приема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Такси превоз стоматолога на релацији Чачак Ивањица и обратно.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дана приема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Такси превоз припоравних лекара на терторији општине Ивањица.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датума приема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 Ивањица и обратно.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припоравних лекара на терторији општине Ивањица.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54,54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 Ивањица и обратно.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складу са условима из конкурсне документације, уговорни однос ће се спроводити до износа од 1.283.333,33 динара. Комисији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припоравних лекара на терторији општине Ивањица.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54,54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складу са условима из конкурсне документације, уговорни однос ће се спроводити до износа од 100.000,00  динара. Комисији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  <w:w w:val="100"/>
        </w:rPr>
        <w:t>Понуда је у складу са условима из конкурсне документације, уговорни однос ће се спроводити до износа за Партију 1 до  1.283.333,33 а за Партију 2 до износа од 100.000,00  динара. Комисији није познато зашто је приспела само једна понуда за обе партијее.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